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93" w:rsidRPr="00B35048" w:rsidRDefault="00E02493" w:rsidP="0061219A">
      <w:pPr>
        <w:widowControl w:val="0"/>
        <w:ind w:right="-5"/>
        <w:jc w:val="center"/>
        <w:rPr>
          <w:rFonts w:ascii="Arial Narrow" w:hAnsi="Arial Narrow"/>
          <w:b/>
          <w:sz w:val="20"/>
          <w:szCs w:val="20"/>
        </w:rPr>
      </w:pPr>
      <w:r w:rsidRPr="00B35048">
        <w:rPr>
          <w:rFonts w:ascii="Arial Narrow" w:hAnsi="Arial Narrow"/>
          <w:b/>
          <w:sz w:val="20"/>
          <w:szCs w:val="20"/>
        </w:rPr>
        <w:t xml:space="preserve">Соглашение </w:t>
      </w:r>
    </w:p>
    <w:p w:rsidR="00E02493" w:rsidRPr="00B35048" w:rsidRDefault="00E02493" w:rsidP="0061219A">
      <w:pPr>
        <w:widowControl w:val="0"/>
        <w:ind w:right="-5"/>
        <w:jc w:val="center"/>
        <w:rPr>
          <w:rFonts w:ascii="Arial Narrow" w:hAnsi="Arial Narrow"/>
          <w:b/>
          <w:sz w:val="20"/>
          <w:szCs w:val="20"/>
        </w:rPr>
      </w:pPr>
      <w:r w:rsidRPr="00B35048">
        <w:rPr>
          <w:rFonts w:ascii="Arial Narrow" w:hAnsi="Arial Narrow"/>
          <w:b/>
          <w:sz w:val="20"/>
          <w:szCs w:val="20"/>
        </w:rPr>
        <w:t>об электронном документообороте</w:t>
      </w:r>
    </w:p>
    <w:p w:rsidR="00E02493" w:rsidRPr="00B35048" w:rsidRDefault="00E02493" w:rsidP="00006456">
      <w:pPr>
        <w:widowControl w:val="0"/>
        <w:ind w:right="-5"/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  <w:gridCol w:w="4785"/>
      </w:tblGrid>
      <w:tr w:rsidR="00E02493" w:rsidRPr="00B35048" w:rsidTr="00D60767">
        <w:trPr>
          <w:jc w:val="center"/>
        </w:trPr>
        <w:tc>
          <w:tcPr>
            <w:tcW w:w="4786" w:type="dxa"/>
            <w:vAlign w:val="center"/>
            <w:hideMark/>
          </w:tcPr>
          <w:p w:rsidR="00E02493" w:rsidRPr="00B35048" w:rsidRDefault="00E0249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9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048">
              <w:rPr>
                <w:rFonts w:ascii="Arial Narrow" w:hAnsi="Arial Narrow"/>
                <w:sz w:val="20"/>
                <w:szCs w:val="20"/>
              </w:rPr>
              <w:t xml:space="preserve">г. Казань  </w:t>
            </w:r>
          </w:p>
        </w:tc>
        <w:tc>
          <w:tcPr>
            <w:tcW w:w="4785" w:type="dxa"/>
            <w:vAlign w:val="center"/>
            <w:hideMark/>
          </w:tcPr>
          <w:p w:rsidR="00E02493" w:rsidRPr="00B35048" w:rsidRDefault="00D6076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98" w:firstLine="5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                </w:t>
            </w:r>
            <w:r w:rsidR="006A6429" w:rsidRPr="00B35048">
              <w:rPr>
                <w:rFonts w:ascii="Arial Narrow" w:hAnsi="Arial Narrow"/>
                <w:b/>
                <w:noProof/>
                <w:sz w:val="20"/>
                <w:szCs w:val="20"/>
              </w:rPr>
              <w:t>_________________</w:t>
            </w:r>
            <w:r w:rsidR="00E02493" w:rsidRPr="00B35048">
              <w:rPr>
                <w:rFonts w:ascii="Arial Narrow" w:hAnsi="Arial Narrow"/>
                <w:b/>
                <w:noProof/>
                <w:sz w:val="20"/>
                <w:szCs w:val="20"/>
              </w:rPr>
              <w:t> г.</w:t>
            </w:r>
          </w:p>
        </w:tc>
      </w:tr>
    </w:tbl>
    <w:p w:rsidR="00E02493" w:rsidRPr="00B35048" w:rsidRDefault="00E02493" w:rsidP="00006456">
      <w:pPr>
        <w:pStyle w:val="Default"/>
        <w:rPr>
          <w:rFonts w:ascii="Arial Narrow" w:hAnsi="Arial Narrow"/>
          <w:sz w:val="20"/>
          <w:szCs w:val="20"/>
        </w:rPr>
      </w:pPr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 xml:space="preserve">АО «Газпром </w:t>
      </w:r>
      <w:proofErr w:type="spellStart"/>
      <w:r w:rsidRPr="00B35048">
        <w:rPr>
          <w:rFonts w:ascii="Arial Narrow" w:hAnsi="Arial Narrow"/>
          <w:sz w:val="20"/>
          <w:szCs w:val="20"/>
        </w:rPr>
        <w:t>межрегионгаз</w:t>
      </w:r>
      <w:proofErr w:type="spellEnd"/>
      <w:r w:rsidRPr="00B35048">
        <w:rPr>
          <w:rFonts w:ascii="Arial Narrow" w:hAnsi="Arial Narrow"/>
          <w:sz w:val="20"/>
          <w:szCs w:val="20"/>
        </w:rPr>
        <w:t xml:space="preserve"> Казань», именуемое в дальнейшем «Поставщик», в лице </w:t>
      </w:r>
      <w:r w:rsidR="00410910">
        <w:rPr>
          <w:rFonts w:ascii="Arial Narrow" w:hAnsi="Arial Narrow"/>
          <w:noProof/>
          <w:sz w:val="20"/>
          <w:szCs w:val="20"/>
        </w:rPr>
        <w:t>Азанчеевой Надежды Натановны</w:t>
      </w:r>
      <w:r w:rsidRPr="00B35048">
        <w:rPr>
          <w:rFonts w:ascii="Arial Narrow" w:hAnsi="Arial Narrow"/>
          <w:sz w:val="20"/>
          <w:szCs w:val="20"/>
        </w:rPr>
        <w:t>, действующ</w:t>
      </w:r>
      <w:r w:rsidR="00410910">
        <w:rPr>
          <w:rFonts w:ascii="Arial Narrow" w:hAnsi="Arial Narrow"/>
          <w:sz w:val="20"/>
          <w:szCs w:val="20"/>
        </w:rPr>
        <w:t xml:space="preserve">его </w:t>
      </w:r>
      <w:r w:rsidRPr="00B35048">
        <w:rPr>
          <w:rFonts w:ascii="Arial Narrow" w:hAnsi="Arial Narrow"/>
          <w:sz w:val="20"/>
          <w:szCs w:val="20"/>
        </w:rPr>
        <w:t xml:space="preserve"> на основании </w:t>
      </w:r>
      <w:r w:rsidR="00410910">
        <w:rPr>
          <w:rFonts w:ascii="Arial Narrow" w:hAnsi="Arial Narrow"/>
          <w:noProof/>
          <w:sz w:val="20"/>
          <w:szCs w:val="20"/>
        </w:rPr>
        <w:t>доверенности №</w:t>
      </w:r>
      <w:r w:rsidR="003D41C3">
        <w:rPr>
          <w:rFonts w:ascii="Arial Narrow" w:hAnsi="Arial Narrow"/>
          <w:noProof/>
          <w:sz w:val="20"/>
          <w:szCs w:val="20"/>
          <w:lang w:val="en-US"/>
        </w:rPr>
        <w:t>8</w:t>
      </w:r>
      <w:r w:rsidR="00410910">
        <w:rPr>
          <w:rFonts w:ascii="Arial Narrow" w:hAnsi="Arial Narrow"/>
          <w:noProof/>
          <w:sz w:val="20"/>
          <w:szCs w:val="20"/>
        </w:rPr>
        <w:t>/12/20</w:t>
      </w:r>
      <w:r w:rsidR="003D41C3">
        <w:rPr>
          <w:rFonts w:ascii="Arial Narrow" w:hAnsi="Arial Narrow"/>
          <w:noProof/>
          <w:sz w:val="20"/>
          <w:szCs w:val="20"/>
          <w:lang w:val="en-US"/>
        </w:rPr>
        <w:t>20</w:t>
      </w:r>
      <w:r w:rsidR="00410910">
        <w:rPr>
          <w:rFonts w:ascii="Arial Narrow" w:hAnsi="Arial Narrow"/>
          <w:noProof/>
          <w:sz w:val="20"/>
          <w:szCs w:val="20"/>
        </w:rPr>
        <w:t xml:space="preserve"> от </w:t>
      </w:r>
      <w:r w:rsidR="003D41C3">
        <w:rPr>
          <w:rFonts w:ascii="Arial Narrow" w:hAnsi="Arial Narrow"/>
          <w:noProof/>
          <w:sz w:val="20"/>
          <w:szCs w:val="20"/>
          <w:lang w:val="en-US"/>
        </w:rPr>
        <w:t>15</w:t>
      </w:r>
      <w:r w:rsidR="00410910">
        <w:rPr>
          <w:rFonts w:ascii="Arial Narrow" w:hAnsi="Arial Narrow"/>
          <w:noProof/>
          <w:sz w:val="20"/>
          <w:szCs w:val="20"/>
        </w:rPr>
        <w:t>.12.20</w:t>
      </w:r>
      <w:r w:rsidR="003D41C3">
        <w:rPr>
          <w:rFonts w:ascii="Arial Narrow" w:hAnsi="Arial Narrow"/>
          <w:noProof/>
          <w:sz w:val="20"/>
          <w:szCs w:val="20"/>
          <w:lang w:val="en-US"/>
        </w:rPr>
        <w:t>20</w:t>
      </w:r>
      <w:bookmarkStart w:id="0" w:name="_GoBack"/>
      <w:bookmarkEnd w:id="0"/>
      <w:r w:rsidR="00410910">
        <w:rPr>
          <w:rFonts w:ascii="Arial Narrow" w:hAnsi="Arial Narrow"/>
          <w:noProof/>
          <w:sz w:val="20"/>
          <w:szCs w:val="20"/>
        </w:rPr>
        <w:t xml:space="preserve"> г.</w:t>
      </w:r>
      <w:r w:rsidRPr="00B35048">
        <w:rPr>
          <w:rFonts w:ascii="Arial Narrow" w:hAnsi="Arial Narrow"/>
          <w:sz w:val="20"/>
          <w:szCs w:val="20"/>
        </w:rPr>
        <w:t xml:space="preserve"> с одной стороны и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E02493" w:rsidRPr="00B35048" w:rsidTr="00C10826">
        <w:trPr>
          <w:trHeight w:val="519"/>
        </w:trPr>
        <w:tc>
          <w:tcPr>
            <w:tcW w:w="9606" w:type="dxa"/>
            <w:vAlign w:val="center"/>
            <w:hideMark/>
          </w:tcPr>
          <w:p w:rsidR="00E02493" w:rsidRPr="00B35048" w:rsidRDefault="006A64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b/>
                <w:noProof/>
                <w:sz w:val="20"/>
                <w:szCs w:val="20"/>
              </w:rPr>
              <w:t>____________________________________________________________________________</w:t>
            </w:r>
            <w:r w:rsidR="00410910">
              <w:rPr>
                <w:rFonts w:ascii="Arial Narrow" w:hAnsi="Arial Narrow"/>
                <w:b/>
                <w:noProof/>
                <w:sz w:val="20"/>
                <w:szCs w:val="20"/>
              </w:rPr>
              <w:t>__________________________</w:t>
            </w:r>
            <w:r w:rsidR="00E02493" w:rsidRPr="00B35048"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</w:tbl>
    <w:p w:rsidR="00E02493" w:rsidRPr="00B35048" w:rsidRDefault="00E02493" w:rsidP="00C10826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именуем</w:t>
      </w:r>
      <w:r w:rsidR="006A6429" w:rsidRPr="00B35048">
        <w:rPr>
          <w:rFonts w:ascii="Arial Narrow" w:hAnsi="Arial Narrow"/>
          <w:sz w:val="20"/>
          <w:szCs w:val="20"/>
        </w:rPr>
        <w:t>___</w:t>
      </w:r>
      <w:r w:rsidRPr="00B35048">
        <w:rPr>
          <w:rFonts w:ascii="Arial Narrow" w:hAnsi="Arial Narrow"/>
          <w:sz w:val="20"/>
          <w:szCs w:val="20"/>
        </w:rPr>
        <w:t xml:space="preserve"> в дальнейшем «Покупатель», в лице</w:t>
      </w:r>
      <w:r w:rsidR="0077344A" w:rsidRPr="00B35048">
        <w:rPr>
          <w:rFonts w:ascii="Arial Narrow" w:hAnsi="Arial Narrow"/>
          <w:sz w:val="20"/>
          <w:szCs w:val="20"/>
        </w:rPr>
        <w:t xml:space="preserve">________________________________, </w:t>
      </w:r>
      <w:proofErr w:type="spellStart"/>
      <w:r w:rsidRPr="00B35048">
        <w:rPr>
          <w:rFonts w:ascii="Arial Narrow" w:hAnsi="Arial Narrow"/>
          <w:sz w:val="20"/>
          <w:szCs w:val="20"/>
        </w:rPr>
        <w:t>действующ</w:t>
      </w:r>
      <w:proofErr w:type="spellEnd"/>
      <w:r w:rsidR="006A6429" w:rsidRPr="00B35048">
        <w:rPr>
          <w:rFonts w:ascii="Arial Narrow" w:hAnsi="Arial Narrow"/>
          <w:sz w:val="20"/>
          <w:szCs w:val="20"/>
        </w:rPr>
        <w:t>____</w:t>
      </w:r>
      <w:r w:rsidRPr="00B35048">
        <w:rPr>
          <w:rFonts w:ascii="Arial Narrow" w:hAnsi="Arial Narrow"/>
          <w:sz w:val="20"/>
          <w:szCs w:val="20"/>
        </w:rPr>
        <w:t xml:space="preserve"> на основании </w:t>
      </w:r>
      <w:r w:rsidR="006A6429" w:rsidRPr="00B35048">
        <w:rPr>
          <w:rFonts w:ascii="Arial Narrow" w:hAnsi="Arial Narrow"/>
          <w:noProof/>
          <w:sz w:val="20"/>
          <w:szCs w:val="20"/>
        </w:rPr>
        <w:t>____________</w:t>
      </w:r>
      <w:r w:rsidR="00221562" w:rsidRPr="00B35048">
        <w:rPr>
          <w:rFonts w:ascii="Arial Narrow" w:hAnsi="Arial Narrow"/>
          <w:noProof/>
          <w:sz w:val="20"/>
          <w:szCs w:val="20"/>
        </w:rPr>
        <w:t>___________________________________</w:t>
      </w:r>
      <w:r w:rsidR="0077344A" w:rsidRPr="00B35048">
        <w:rPr>
          <w:rFonts w:ascii="Arial Narrow" w:hAnsi="Arial Narrow"/>
          <w:noProof/>
          <w:sz w:val="20"/>
          <w:szCs w:val="20"/>
        </w:rPr>
        <w:t>____________________________________</w:t>
      </w:r>
      <w:r w:rsidR="006A6429" w:rsidRPr="00B35048">
        <w:rPr>
          <w:rFonts w:ascii="Arial Narrow" w:hAnsi="Arial Narrow"/>
          <w:noProof/>
          <w:sz w:val="20"/>
          <w:szCs w:val="20"/>
        </w:rPr>
        <w:t>_____ _________________________________________________________</w:t>
      </w:r>
      <w:r w:rsidRPr="00B35048">
        <w:rPr>
          <w:rFonts w:ascii="Arial Narrow" w:hAnsi="Arial Narrow"/>
          <w:sz w:val="20"/>
          <w:szCs w:val="20"/>
        </w:rPr>
        <w:t>, с другой стороны, именуемые в дальнейшем Стороны, заключили настоящее соглашение о нижеследующем:</w:t>
      </w:r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 xml:space="preserve">1.1. Стороны определяют, что </w:t>
      </w:r>
      <w:proofErr w:type="gramStart"/>
      <w:r w:rsidRPr="00B35048">
        <w:rPr>
          <w:rFonts w:ascii="Arial Narrow" w:hAnsi="Arial Narrow"/>
          <w:sz w:val="20"/>
          <w:szCs w:val="20"/>
        </w:rPr>
        <w:t>с даты подписания</w:t>
      </w:r>
      <w:proofErr w:type="gramEnd"/>
      <w:r w:rsidRPr="00B35048">
        <w:rPr>
          <w:rFonts w:ascii="Arial Narrow" w:hAnsi="Arial Narrow"/>
          <w:sz w:val="20"/>
          <w:szCs w:val="20"/>
        </w:rPr>
        <w:t xml:space="preserve"> настоящего Соглашения документооборот между сторонами по договорам (государственным контрактам, контрактам) поставки газа осуществляется в электронном виде (далее - электронный документооборот или ЭДО) с применением усиленной квалифицированной электронной цифровой подписи (далее - УКЭЦП).</w:t>
      </w:r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 xml:space="preserve">1.2. </w:t>
      </w:r>
      <w:proofErr w:type="gramStart"/>
      <w:r w:rsidRPr="00B35048">
        <w:rPr>
          <w:rFonts w:ascii="Arial Narrow" w:hAnsi="Arial Narrow"/>
          <w:sz w:val="20"/>
          <w:szCs w:val="20"/>
        </w:rPr>
        <w:t>Применяя ЭДО, Стороны руководствуются порядком, установленным  Федеральным законом от 6 апреля 2011 г. N 63-ФЗ «Об электронной подписи», Приказом Минфина</w:t>
      </w:r>
      <w:r w:rsidRPr="00B35048">
        <w:rPr>
          <w:rFonts w:ascii="Arial Narrow" w:hAnsi="Arial Narrow"/>
          <w:color w:val="auto"/>
          <w:sz w:val="20"/>
          <w:szCs w:val="20"/>
        </w:rPr>
        <w:t xml:space="preserve"> РФ от 10 ноября 2015 г. N 174н</w:t>
      </w:r>
      <w:r w:rsidRPr="00B35048">
        <w:rPr>
          <w:rFonts w:ascii="Arial Narrow" w:hAnsi="Arial Narrow"/>
          <w:sz w:val="20"/>
          <w:szCs w:val="20"/>
        </w:rPr>
        <w:t xml:space="preserve"> и настоящим Соглашением, а также внутренними документами  удостоверяющего центра, аккредитованного в </w:t>
      </w:r>
      <w:proofErr w:type="spellStart"/>
      <w:r w:rsidRPr="00B35048">
        <w:rPr>
          <w:rFonts w:ascii="Arial Narrow" w:hAnsi="Arial Narrow"/>
          <w:sz w:val="20"/>
          <w:szCs w:val="20"/>
        </w:rPr>
        <w:t>Минкомсвязи</w:t>
      </w:r>
      <w:proofErr w:type="spellEnd"/>
      <w:r w:rsidRPr="00B35048">
        <w:rPr>
          <w:rFonts w:ascii="Arial Narrow" w:hAnsi="Arial Narrow"/>
          <w:sz w:val="20"/>
          <w:szCs w:val="20"/>
        </w:rPr>
        <w:t xml:space="preserve"> РФ. </w:t>
      </w:r>
      <w:proofErr w:type="gramEnd"/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 xml:space="preserve"> 1.3. Стороны гарантируют, что каждый уполномоченный представитель Стороны использует для подписания документов только </w:t>
      </w:r>
      <w:proofErr w:type="gramStart"/>
      <w:r w:rsidRPr="00B35048">
        <w:rPr>
          <w:rFonts w:ascii="Arial Narrow" w:hAnsi="Arial Narrow"/>
          <w:sz w:val="20"/>
          <w:szCs w:val="20"/>
        </w:rPr>
        <w:t>личную</w:t>
      </w:r>
      <w:proofErr w:type="gramEnd"/>
      <w:r w:rsidRPr="00B35048">
        <w:rPr>
          <w:rFonts w:ascii="Arial Narrow" w:hAnsi="Arial Narrow"/>
          <w:sz w:val="20"/>
          <w:szCs w:val="20"/>
        </w:rPr>
        <w:t xml:space="preserve"> УКЭЦП. При этом Сторона, являющаяся отправителем электронного документа, несет ответственность за наличие полномочий лица на  подписание этого электронного документа.</w:t>
      </w:r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 xml:space="preserve"> 1.4. Перечень документов, используемых в ЭДО:</w:t>
      </w:r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 xml:space="preserve">- счета-фактуры (за исключением </w:t>
      </w:r>
      <w:r w:rsidR="006A6429" w:rsidRPr="00B35048">
        <w:rPr>
          <w:rFonts w:ascii="Arial Narrow" w:hAnsi="Arial Narrow"/>
          <w:sz w:val="20"/>
          <w:szCs w:val="20"/>
        </w:rPr>
        <w:t xml:space="preserve">корректировочных счетов-фактур и </w:t>
      </w:r>
      <w:r w:rsidRPr="00B35048">
        <w:rPr>
          <w:rFonts w:ascii="Arial Narrow" w:hAnsi="Arial Narrow"/>
          <w:sz w:val="20"/>
          <w:szCs w:val="20"/>
        </w:rPr>
        <w:t>счетов-фактур с исправлениями);</w:t>
      </w:r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 xml:space="preserve">- товарные накладные </w:t>
      </w:r>
      <w:r w:rsidR="0077344A" w:rsidRPr="00B35048">
        <w:rPr>
          <w:rFonts w:ascii="Arial Narrow" w:hAnsi="Arial Narrow"/>
          <w:sz w:val="20"/>
          <w:szCs w:val="20"/>
        </w:rPr>
        <w:t xml:space="preserve">(кроме </w:t>
      </w:r>
      <w:proofErr w:type="gramStart"/>
      <w:r w:rsidR="0077344A" w:rsidRPr="00B35048">
        <w:rPr>
          <w:rFonts w:ascii="Arial Narrow" w:hAnsi="Arial Narrow"/>
          <w:sz w:val="20"/>
          <w:szCs w:val="20"/>
        </w:rPr>
        <w:t>корректировочных</w:t>
      </w:r>
      <w:proofErr w:type="gramEnd"/>
      <w:r w:rsidR="0077344A" w:rsidRPr="00B35048">
        <w:rPr>
          <w:rFonts w:ascii="Arial Narrow" w:hAnsi="Arial Narrow"/>
          <w:sz w:val="20"/>
          <w:szCs w:val="20"/>
        </w:rPr>
        <w:t>)</w:t>
      </w:r>
      <w:r w:rsidRPr="00B35048">
        <w:rPr>
          <w:rFonts w:ascii="Arial Narrow" w:hAnsi="Arial Narrow"/>
          <w:sz w:val="20"/>
          <w:szCs w:val="20"/>
        </w:rPr>
        <w:t>;</w:t>
      </w:r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- счета-фактуры, выставляемые при получении оплаты, частичной оплаты в счет предстоящих поставок;</w:t>
      </w:r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- счета на оплату газа;</w:t>
      </w:r>
    </w:p>
    <w:p w:rsidR="00E02493" w:rsidRPr="00B35048" w:rsidRDefault="006A6429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- акты сверок взаимных расчетов;</w:t>
      </w:r>
    </w:p>
    <w:p w:rsidR="00E02493" w:rsidRPr="00B35048" w:rsidRDefault="006A6429" w:rsidP="00291ACB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- претензии и исковые заявления;</w:t>
      </w:r>
    </w:p>
    <w:p w:rsidR="006A6429" w:rsidRPr="00B35048" w:rsidRDefault="006A6429" w:rsidP="00291ACB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- уведомления об ограничении поставки газа.</w:t>
      </w:r>
    </w:p>
    <w:p w:rsidR="003426DA" w:rsidRPr="00B35048" w:rsidRDefault="00E02493" w:rsidP="003426DA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1.</w:t>
      </w:r>
      <w:r w:rsidR="0077344A" w:rsidRPr="00B35048">
        <w:rPr>
          <w:rFonts w:ascii="Arial Narrow" w:hAnsi="Arial Narrow"/>
          <w:sz w:val="20"/>
          <w:szCs w:val="20"/>
        </w:rPr>
        <w:t>5</w:t>
      </w:r>
      <w:r w:rsidRPr="00B35048">
        <w:rPr>
          <w:rFonts w:ascii="Arial Narrow" w:hAnsi="Arial Narrow"/>
          <w:sz w:val="20"/>
          <w:szCs w:val="20"/>
        </w:rPr>
        <w:t xml:space="preserve">. </w:t>
      </w:r>
      <w:r w:rsidR="003426DA" w:rsidRPr="00B35048">
        <w:rPr>
          <w:rFonts w:ascii="Arial Narrow" w:hAnsi="Arial Narrow"/>
          <w:sz w:val="20"/>
          <w:szCs w:val="20"/>
        </w:rPr>
        <w:t xml:space="preserve">Настоящее Соглашение вступает в силу </w:t>
      </w:r>
      <w:proofErr w:type="gramStart"/>
      <w:r w:rsidR="003426DA" w:rsidRPr="00B35048">
        <w:rPr>
          <w:rFonts w:ascii="Arial Narrow" w:hAnsi="Arial Narrow"/>
          <w:sz w:val="20"/>
          <w:szCs w:val="20"/>
        </w:rPr>
        <w:t>с даты</w:t>
      </w:r>
      <w:proofErr w:type="gramEnd"/>
      <w:r w:rsidR="003426DA" w:rsidRPr="00B35048">
        <w:rPr>
          <w:rFonts w:ascii="Arial Narrow" w:hAnsi="Arial Narrow"/>
          <w:sz w:val="20"/>
          <w:szCs w:val="20"/>
        </w:rPr>
        <w:t xml:space="preserve"> его подписания Сторонами. В течение первых трех календарных месяцев, документооборот между Сторонами осуществляется одновременно как на бумажном носителе, так и в системе ЭДО. До истечения трех месяцев любая из Сторон вправе отказаться от ЭДО, направив другой стороне соответствующее уведомление на бумажном носителе. В таком случае настоящее Соглашение прекращает свое действие с момента получения Стороной соответствующего уведомления. </w:t>
      </w:r>
    </w:p>
    <w:p w:rsidR="003426DA" w:rsidRPr="00B35048" w:rsidRDefault="003426DA" w:rsidP="003426DA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По истечению указанных трех месяцев оборот документов, указанных в п. 1.4. настоящего Соглашения, осуществляется Сторонами только в порядке ЭДО.</w:t>
      </w:r>
    </w:p>
    <w:p w:rsidR="00E02493" w:rsidRPr="00B35048" w:rsidRDefault="00E02493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 xml:space="preserve">Сторона может расторгнуть Соглашение при условии письменного уведомления об этом другой Стороны не менее чем за 30 (тридцать) календарных дней до предполагаемой даты расторжения. </w:t>
      </w:r>
    </w:p>
    <w:p w:rsidR="00D60767" w:rsidRPr="00B35048" w:rsidRDefault="00D60767" w:rsidP="00006456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Настоящее соглашение прекращает свое действие в случае, если оператор ЭДО подтвердит, что сторона настоящего соглашения в течение 3(трех) месяцев не получает направляемые ей документы.</w:t>
      </w:r>
    </w:p>
    <w:p w:rsidR="00E02493" w:rsidRPr="00B35048" w:rsidRDefault="0077344A" w:rsidP="002559C7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1.6</w:t>
      </w:r>
      <w:r w:rsidR="00E02493" w:rsidRPr="00B35048">
        <w:rPr>
          <w:rFonts w:ascii="Arial Narrow" w:hAnsi="Arial Narrow"/>
          <w:sz w:val="20"/>
          <w:szCs w:val="20"/>
        </w:rPr>
        <w:t>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E02493" w:rsidRPr="00B35048" w:rsidRDefault="0077344A" w:rsidP="002559C7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1.7</w:t>
      </w:r>
      <w:r w:rsidR="00E02493" w:rsidRPr="00B35048">
        <w:rPr>
          <w:rFonts w:ascii="Arial Narrow" w:hAnsi="Arial Narrow"/>
          <w:sz w:val="20"/>
          <w:szCs w:val="20"/>
        </w:rPr>
        <w:t xml:space="preserve">. Любые изменения настоящего Соглашения оформляются в письменной форме и заверяются подписями уполномоченных представителей Сторон. </w:t>
      </w:r>
    </w:p>
    <w:p w:rsidR="00E02493" w:rsidRPr="00B35048" w:rsidRDefault="00E02493" w:rsidP="002559C7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1.</w:t>
      </w:r>
      <w:r w:rsidR="0077344A" w:rsidRPr="00B35048">
        <w:rPr>
          <w:rFonts w:ascii="Arial Narrow" w:hAnsi="Arial Narrow"/>
          <w:sz w:val="20"/>
          <w:szCs w:val="20"/>
        </w:rPr>
        <w:t>8</w:t>
      </w:r>
      <w:r w:rsidRPr="00B35048">
        <w:rPr>
          <w:rFonts w:ascii="Arial Narrow" w:hAnsi="Arial Narrow"/>
          <w:sz w:val="20"/>
          <w:szCs w:val="20"/>
        </w:rPr>
        <w:t xml:space="preserve">. В случае возникновения между Сторонами споров по вопросам авторства и подлинности электронных документов разрешение спора производится в соответствии с законодательством Российской Федерации и внутренними документами удостоверяющих центров. </w:t>
      </w:r>
    </w:p>
    <w:p w:rsidR="00E02493" w:rsidRPr="00B35048" w:rsidRDefault="00E02493" w:rsidP="002559C7">
      <w:pPr>
        <w:pStyle w:val="Default"/>
        <w:ind w:firstLine="851"/>
        <w:jc w:val="both"/>
        <w:rPr>
          <w:rFonts w:ascii="Arial Narrow" w:hAnsi="Arial Narrow"/>
          <w:sz w:val="20"/>
          <w:szCs w:val="20"/>
        </w:rPr>
      </w:pPr>
    </w:p>
    <w:p w:rsidR="00E02493" w:rsidRPr="00B35048" w:rsidRDefault="00E02493" w:rsidP="002559C7">
      <w:pPr>
        <w:ind w:right="-5" w:firstLine="567"/>
        <w:jc w:val="both"/>
        <w:rPr>
          <w:rFonts w:ascii="Arial Narrow" w:hAnsi="Arial Narrow"/>
          <w:sz w:val="20"/>
          <w:szCs w:val="20"/>
        </w:rPr>
      </w:pPr>
      <w:r w:rsidRPr="00B35048">
        <w:rPr>
          <w:rFonts w:ascii="Arial Narrow" w:hAnsi="Arial Narrow"/>
          <w:sz w:val="20"/>
          <w:szCs w:val="20"/>
        </w:rPr>
        <w:t>Подписи Сторон: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836E31" w:rsidRPr="00B35048" w:rsidTr="00992A38">
        <w:tc>
          <w:tcPr>
            <w:tcW w:w="4680" w:type="dxa"/>
            <w:hideMark/>
          </w:tcPr>
          <w:p w:rsidR="00836E31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35048">
              <w:rPr>
                <w:rFonts w:ascii="Arial Narrow" w:hAnsi="Arial Narrow"/>
                <w:b/>
                <w:sz w:val="20"/>
                <w:szCs w:val="20"/>
              </w:rPr>
              <w:t>Поставщик:</w:t>
            </w:r>
          </w:p>
          <w:p w:rsidR="00410910" w:rsidRPr="00B35048" w:rsidRDefault="00410910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АО «Газпром межрегионгаз Казань»</w:t>
            </w:r>
          </w:p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35048">
              <w:rPr>
                <w:rFonts w:ascii="Arial Narrow" w:hAnsi="Arial Narrow"/>
                <w:b/>
                <w:sz w:val="20"/>
                <w:szCs w:val="20"/>
              </w:rPr>
              <w:t>Покупатель:</w:t>
            </w:r>
          </w:p>
        </w:tc>
      </w:tr>
      <w:tr w:rsidR="00836E31" w:rsidRPr="00B35048" w:rsidTr="00992A38">
        <w:trPr>
          <w:trHeight w:val="216"/>
        </w:trPr>
        <w:tc>
          <w:tcPr>
            <w:tcW w:w="4680" w:type="dxa"/>
            <w:vAlign w:val="bottom"/>
          </w:tcPr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:rsidR="00836E31" w:rsidRPr="00410910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</w:rPr>
            </w:pPr>
            <w:r w:rsidRPr="00410910">
              <w:rPr>
                <w:rFonts w:ascii="Arial Narrow" w:hAnsi="Arial Narrow"/>
                <w:sz w:val="20"/>
                <w:szCs w:val="20"/>
              </w:rPr>
              <w:t xml:space="preserve">ИНН </w:t>
            </w:r>
            <w:r w:rsidR="00410910">
              <w:rPr>
                <w:rFonts w:ascii="Arial Narrow" w:hAnsi="Arial Narrow"/>
                <w:sz w:val="20"/>
                <w:szCs w:val="20"/>
              </w:rPr>
              <w:t>1660031631</w:t>
            </w:r>
          </w:p>
          <w:p w:rsidR="00836E31" w:rsidRPr="00B35048" w:rsidRDefault="00836E31" w:rsidP="00410910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</w:rPr>
            </w:pPr>
            <w:r w:rsidRPr="00410910">
              <w:rPr>
                <w:rFonts w:ascii="Arial Narrow" w:hAnsi="Arial Narrow"/>
                <w:sz w:val="20"/>
                <w:szCs w:val="20"/>
              </w:rPr>
              <w:t xml:space="preserve">КПП </w:t>
            </w:r>
            <w:r w:rsidR="00410910">
              <w:rPr>
                <w:rFonts w:ascii="Arial Narrow" w:hAnsi="Arial Narrow"/>
                <w:sz w:val="20"/>
                <w:szCs w:val="20"/>
              </w:rPr>
              <w:t>997650001</w:t>
            </w:r>
          </w:p>
        </w:tc>
        <w:tc>
          <w:tcPr>
            <w:tcW w:w="4680" w:type="dxa"/>
            <w:vAlign w:val="bottom"/>
          </w:tcPr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sz w:val="20"/>
                <w:szCs w:val="20"/>
              </w:rPr>
              <w:t>ИНН ___________________________</w:t>
            </w:r>
          </w:p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sz w:val="20"/>
                <w:szCs w:val="20"/>
              </w:rPr>
              <w:t>КПП ___________________________</w:t>
            </w:r>
          </w:p>
        </w:tc>
      </w:tr>
      <w:tr w:rsidR="00836E31" w:rsidRPr="00B35048" w:rsidTr="00992A38">
        <w:trPr>
          <w:trHeight w:val="314"/>
        </w:trPr>
        <w:tc>
          <w:tcPr>
            <w:tcW w:w="4680" w:type="dxa"/>
            <w:vAlign w:val="bottom"/>
          </w:tcPr>
          <w:p w:rsidR="00836E31" w:rsidRPr="00B35048" w:rsidRDefault="00836E31" w:rsidP="00992A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88" w:lineRule="auto"/>
              <w:ind w:right="9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Align w:val="bottom"/>
          </w:tcPr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36E31" w:rsidRPr="00B35048" w:rsidTr="00992A38">
        <w:trPr>
          <w:trHeight w:val="314"/>
        </w:trPr>
        <w:tc>
          <w:tcPr>
            <w:tcW w:w="4680" w:type="dxa"/>
            <w:vAlign w:val="bottom"/>
          </w:tcPr>
          <w:p w:rsidR="00836E31" w:rsidRPr="00B35048" w:rsidRDefault="00836E31" w:rsidP="00992A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88" w:lineRule="auto"/>
              <w:ind w:right="9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Align w:val="bottom"/>
          </w:tcPr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36E31" w:rsidRPr="00B35048" w:rsidTr="00992A38">
        <w:trPr>
          <w:trHeight w:val="396"/>
        </w:trPr>
        <w:tc>
          <w:tcPr>
            <w:tcW w:w="4680" w:type="dxa"/>
            <w:vAlign w:val="bottom"/>
            <w:hideMark/>
          </w:tcPr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</w:tc>
        <w:tc>
          <w:tcPr>
            <w:tcW w:w="4680" w:type="dxa"/>
            <w:vAlign w:val="bottom"/>
            <w:hideMark/>
          </w:tcPr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</w:tc>
      </w:tr>
      <w:tr w:rsidR="00836E31" w:rsidRPr="00B35048" w:rsidTr="00992A38">
        <w:tc>
          <w:tcPr>
            <w:tcW w:w="4680" w:type="dxa"/>
            <w:hideMark/>
          </w:tcPr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4680" w:type="dxa"/>
            <w:hideMark/>
          </w:tcPr>
          <w:p w:rsidR="00836E31" w:rsidRPr="00B35048" w:rsidRDefault="00836E31" w:rsidP="00992A38">
            <w:pPr>
              <w:widowControl w:val="0"/>
              <w:autoSpaceDE w:val="0"/>
              <w:autoSpaceDN w:val="0"/>
              <w:adjustRightInd w:val="0"/>
              <w:spacing w:line="288" w:lineRule="auto"/>
              <w:ind w:rightChars="128" w:right="3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5048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</w:tr>
    </w:tbl>
    <w:p w:rsidR="00836E31" w:rsidRPr="00B35048" w:rsidRDefault="00836E31" w:rsidP="002559C7">
      <w:pPr>
        <w:ind w:right="-5" w:firstLine="567"/>
        <w:jc w:val="both"/>
        <w:rPr>
          <w:rFonts w:ascii="Arial Narrow" w:hAnsi="Arial Narrow"/>
          <w:sz w:val="20"/>
          <w:szCs w:val="20"/>
        </w:rPr>
      </w:pPr>
    </w:p>
    <w:p w:rsidR="00E02493" w:rsidRPr="00B35048" w:rsidRDefault="00E02493" w:rsidP="00DD2641">
      <w:pPr>
        <w:widowControl w:val="0"/>
        <w:ind w:right="-5"/>
        <w:rPr>
          <w:rFonts w:ascii="Arial Narrow" w:hAnsi="Arial Narrow"/>
          <w:b/>
          <w:sz w:val="20"/>
          <w:szCs w:val="20"/>
        </w:rPr>
      </w:pPr>
      <w:r w:rsidRPr="00B35048">
        <w:rPr>
          <w:rFonts w:ascii="Arial Narrow" w:hAnsi="Arial Narrow"/>
          <w:b/>
          <w:sz w:val="20"/>
          <w:szCs w:val="20"/>
        </w:rPr>
        <w:t xml:space="preserve"> Оператор</w:t>
      </w:r>
      <w:r w:rsidR="0077344A" w:rsidRPr="00B35048">
        <w:rPr>
          <w:rFonts w:ascii="Arial Narrow" w:hAnsi="Arial Narrow"/>
          <w:b/>
          <w:sz w:val="20"/>
          <w:szCs w:val="20"/>
        </w:rPr>
        <w:t>ом</w:t>
      </w:r>
      <w:r w:rsidRPr="00B35048">
        <w:rPr>
          <w:rFonts w:ascii="Arial Narrow" w:hAnsi="Arial Narrow"/>
          <w:b/>
          <w:sz w:val="20"/>
          <w:szCs w:val="20"/>
        </w:rPr>
        <w:t xml:space="preserve"> ЭДО </w:t>
      </w:r>
      <w:proofErr w:type="gramStart"/>
      <w:r w:rsidR="0077344A" w:rsidRPr="00B35048">
        <w:rPr>
          <w:rFonts w:ascii="Arial Narrow" w:hAnsi="Arial Narrow"/>
          <w:b/>
          <w:sz w:val="20"/>
          <w:szCs w:val="20"/>
        </w:rPr>
        <w:t>является</w:t>
      </w:r>
      <w:r w:rsidRPr="00B35048">
        <w:rPr>
          <w:rFonts w:ascii="Arial Narrow" w:hAnsi="Arial Narrow"/>
          <w:b/>
          <w:sz w:val="20"/>
          <w:szCs w:val="20"/>
        </w:rPr>
        <w:t xml:space="preserve">                              </w:t>
      </w:r>
      <w:r w:rsidR="00B35048" w:rsidRPr="00B35048">
        <w:rPr>
          <w:rFonts w:ascii="Arial Narrow" w:hAnsi="Arial Narrow"/>
          <w:b/>
          <w:sz w:val="20"/>
          <w:szCs w:val="20"/>
        </w:rPr>
        <w:t xml:space="preserve">        </w:t>
      </w:r>
      <w:r w:rsidRPr="00B35048">
        <w:rPr>
          <w:rFonts w:ascii="Arial Narrow" w:hAnsi="Arial Narrow"/>
          <w:b/>
          <w:sz w:val="20"/>
          <w:szCs w:val="20"/>
        </w:rPr>
        <w:t>Оператор</w:t>
      </w:r>
      <w:r w:rsidR="0077344A" w:rsidRPr="00B35048">
        <w:rPr>
          <w:rFonts w:ascii="Arial Narrow" w:hAnsi="Arial Narrow"/>
          <w:b/>
          <w:sz w:val="20"/>
          <w:szCs w:val="20"/>
        </w:rPr>
        <w:t>ом</w:t>
      </w:r>
      <w:r w:rsidRPr="00B35048">
        <w:rPr>
          <w:rFonts w:ascii="Arial Narrow" w:hAnsi="Arial Narrow"/>
          <w:b/>
          <w:sz w:val="20"/>
          <w:szCs w:val="20"/>
        </w:rPr>
        <w:t xml:space="preserve"> ЭДО</w:t>
      </w:r>
      <w:r w:rsidR="0077344A" w:rsidRPr="00B35048">
        <w:rPr>
          <w:rFonts w:ascii="Arial Narrow" w:hAnsi="Arial Narrow"/>
          <w:b/>
          <w:sz w:val="20"/>
          <w:szCs w:val="20"/>
        </w:rPr>
        <w:t xml:space="preserve"> является</w:t>
      </w:r>
      <w:proofErr w:type="gramEnd"/>
      <w:r w:rsidRPr="00B35048">
        <w:rPr>
          <w:rFonts w:ascii="Arial Narrow" w:hAnsi="Arial Narrow"/>
          <w:b/>
          <w:sz w:val="20"/>
          <w:szCs w:val="20"/>
        </w:rPr>
        <w:t xml:space="preserve">   </w:t>
      </w:r>
    </w:p>
    <w:p w:rsidR="00E02493" w:rsidRPr="00B35048" w:rsidRDefault="00E02493" w:rsidP="00DD2641">
      <w:pPr>
        <w:widowControl w:val="0"/>
        <w:ind w:right="-5"/>
        <w:rPr>
          <w:rFonts w:ascii="Arial Narrow" w:hAnsi="Arial Narrow"/>
          <w:b/>
          <w:sz w:val="20"/>
          <w:szCs w:val="20"/>
        </w:rPr>
      </w:pPr>
      <w:r w:rsidRPr="00B35048">
        <w:rPr>
          <w:rFonts w:ascii="Arial Narrow" w:hAnsi="Arial Narrow"/>
          <w:b/>
          <w:sz w:val="20"/>
          <w:szCs w:val="20"/>
        </w:rPr>
        <w:t xml:space="preserve">                  </w:t>
      </w:r>
    </w:p>
    <w:p w:rsidR="00E02493" w:rsidRPr="00B35048" w:rsidRDefault="00E02493" w:rsidP="00DD2641">
      <w:pPr>
        <w:widowControl w:val="0"/>
        <w:ind w:right="-5"/>
        <w:rPr>
          <w:rFonts w:ascii="Arial Narrow" w:hAnsi="Arial Narrow"/>
          <w:b/>
          <w:sz w:val="20"/>
          <w:szCs w:val="20"/>
          <w:u w:val="single"/>
          <w:lang w:val="en-US"/>
        </w:rPr>
        <w:sectPr w:rsidR="00E02493" w:rsidRPr="00B35048" w:rsidSect="00B35048">
          <w:pgSz w:w="11906" w:h="16838"/>
          <w:pgMar w:top="426" w:right="720" w:bottom="720" w:left="720" w:header="708" w:footer="462" w:gutter="0"/>
          <w:pgNumType w:start="1"/>
          <w:cols w:space="708"/>
          <w:titlePg/>
          <w:docGrid w:linePitch="360"/>
        </w:sectPr>
      </w:pPr>
      <w:r w:rsidRPr="00B35048">
        <w:rPr>
          <w:rFonts w:ascii="Arial Narrow" w:hAnsi="Arial Narrow"/>
          <w:b/>
          <w:sz w:val="20"/>
          <w:szCs w:val="20"/>
          <w:u w:val="single"/>
        </w:rPr>
        <w:t>ООО "Компания "Тензор" (</w:t>
      </w:r>
      <w:proofErr w:type="spellStart"/>
      <w:r w:rsidRPr="00B35048">
        <w:rPr>
          <w:rFonts w:ascii="Arial Narrow" w:hAnsi="Arial Narrow"/>
          <w:b/>
          <w:sz w:val="20"/>
          <w:szCs w:val="20"/>
          <w:u w:val="single"/>
        </w:rPr>
        <w:t>СБиС</w:t>
      </w:r>
      <w:proofErr w:type="spellEnd"/>
      <w:r w:rsidRPr="00B35048">
        <w:rPr>
          <w:rFonts w:ascii="Arial Narrow" w:hAnsi="Arial Narrow"/>
          <w:b/>
          <w:sz w:val="20"/>
          <w:szCs w:val="20"/>
          <w:u w:val="single"/>
        </w:rPr>
        <w:t>)</w:t>
      </w:r>
      <w:r w:rsidRPr="00B35048">
        <w:rPr>
          <w:rFonts w:ascii="Arial Narrow" w:hAnsi="Arial Narrow"/>
          <w:b/>
          <w:sz w:val="20"/>
          <w:szCs w:val="20"/>
        </w:rPr>
        <w:t xml:space="preserve">                </w:t>
      </w:r>
      <w:r w:rsidR="00221562" w:rsidRPr="00B35048">
        <w:rPr>
          <w:rFonts w:ascii="Arial Narrow" w:hAnsi="Arial Narrow"/>
          <w:b/>
          <w:sz w:val="20"/>
          <w:szCs w:val="20"/>
        </w:rPr>
        <w:t xml:space="preserve">             </w:t>
      </w:r>
      <w:r w:rsidRPr="00B35048">
        <w:rPr>
          <w:rFonts w:ascii="Arial Narrow" w:hAnsi="Arial Narrow"/>
          <w:b/>
          <w:sz w:val="20"/>
          <w:szCs w:val="20"/>
        </w:rPr>
        <w:t xml:space="preserve"> </w:t>
      </w:r>
      <w:r w:rsidRPr="00B35048">
        <w:rPr>
          <w:rFonts w:ascii="Arial Narrow" w:hAnsi="Arial Narrow"/>
          <w:b/>
          <w:sz w:val="20"/>
          <w:szCs w:val="20"/>
          <w:u w:val="single"/>
          <w:lang w:val="en-US"/>
        </w:rPr>
        <w:tab/>
      </w:r>
      <w:r w:rsidRPr="00B35048">
        <w:rPr>
          <w:rFonts w:ascii="Arial Narrow" w:hAnsi="Arial Narrow"/>
          <w:b/>
          <w:sz w:val="20"/>
          <w:szCs w:val="20"/>
          <w:u w:val="single"/>
          <w:lang w:val="en-US"/>
        </w:rPr>
        <w:tab/>
      </w:r>
      <w:r w:rsidRPr="00B35048">
        <w:rPr>
          <w:rFonts w:ascii="Arial Narrow" w:hAnsi="Arial Narrow"/>
          <w:b/>
          <w:sz w:val="20"/>
          <w:szCs w:val="20"/>
          <w:u w:val="single"/>
          <w:lang w:val="en-US"/>
        </w:rPr>
        <w:tab/>
      </w:r>
      <w:r w:rsidRPr="00B35048">
        <w:rPr>
          <w:rFonts w:ascii="Arial Narrow" w:hAnsi="Arial Narrow"/>
          <w:b/>
          <w:sz w:val="20"/>
          <w:szCs w:val="20"/>
          <w:u w:val="single"/>
          <w:lang w:val="en-US"/>
        </w:rPr>
        <w:tab/>
      </w:r>
      <w:r w:rsidRPr="00B35048">
        <w:rPr>
          <w:rFonts w:ascii="Arial Narrow" w:hAnsi="Arial Narrow"/>
          <w:b/>
          <w:sz w:val="20"/>
          <w:szCs w:val="20"/>
          <w:u w:val="single"/>
          <w:lang w:val="en-US"/>
        </w:rPr>
        <w:tab/>
      </w:r>
      <w:r w:rsidRPr="00B35048">
        <w:rPr>
          <w:rFonts w:ascii="Arial Narrow" w:hAnsi="Arial Narrow"/>
          <w:b/>
          <w:sz w:val="20"/>
          <w:szCs w:val="20"/>
          <w:u w:val="single"/>
          <w:lang w:val="en-US"/>
        </w:rPr>
        <w:tab/>
      </w:r>
      <w:r w:rsidRPr="00B35048">
        <w:rPr>
          <w:rFonts w:ascii="Arial Narrow" w:hAnsi="Arial Narrow"/>
          <w:b/>
          <w:sz w:val="20"/>
          <w:szCs w:val="20"/>
          <w:u w:val="single"/>
          <w:lang w:val="en-US"/>
        </w:rPr>
        <w:tab/>
      </w:r>
    </w:p>
    <w:p w:rsidR="00E02493" w:rsidRPr="00B35048" w:rsidRDefault="00E02493" w:rsidP="00DD2641">
      <w:pPr>
        <w:widowControl w:val="0"/>
        <w:ind w:right="-5"/>
        <w:rPr>
          <w:rFonts w:ascii="Arial Narrow" w:hAnsi="Arial Narrow"/>
          <w:sz w:val="20"/>
          <w:szCs w:val="20"/>
          <w:u w:val="single"/>
          <w:lang w:val="en-US"/>
        </w:rPr>
      </w:pPr>
    </w:p>
    <w:sectPr w:rsidR="00E02493" w:rsidRPr="00B35048" w:rsidSect="0077344A">
      <w:type w:val="continuous"/>
      <w:pgSz w:w="11906" w:h="16838"/>
      <w:pgMar w:top="720" w:right="720" w:bottom="720" w:left="720" w:header="708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D5" w:rsidRDefault="00C103D5">
      <w:r>
        <w:separator/>
      </w:r>
    </w:p>
  </w:endnote>
  <w:endnote w:type="continuationSeparator" w:id="0">
    <w:p w:rsidR="00C103D5" w:rsidRDefault="00C1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D5" w:rsidRDefault="00C103D5">
      <w:r>
        <w:separator/>
      </w:r>
    </w:p>
  </w:footnote>
  <w:footnote w:type="continuationSeparator" w:id="0">
    <w:p w:rsidR="00C103D5" w:rsidRDefault="00C1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B"/>
    <w:rsid w:val="0000191D"/>
    <w:rsid w:val="00006456"/>
    <w:rsid w:val="00012D7C"/>
    <w:rsid w:val="00013E00"/>
    <w:rsid w:val="00050360"/>
    <w:rsid w:val="00063937"/>
    <w:rsid w:val="00097C56"/>
    <w:rsid w:val="000A4960"/>
    <w:rsid w:val="000C0A97"/>
    <w:rsid w:val="000F3EEA"/>
    <w:rsid w:val="00150505"/>
    <w:rsid w:val="00176CF3"/>
    <w:rsid w:val="00177DCD"/>
    <w:rsid w:val="0018507D"/>
    <w:rsid w:val="001D6CB4"/>
    <w:rsid w:val="00221562"/>
    <w:rsid w:val="00232B3B"/>
    <w:rsid w:val="002502D9"/>
    <w:rsid w:val="002559C7"/>
    <w:rsid w:val="002626AF"/>
    <w:rsid w:val="00267448"/>
    <w:rsid w:val="00283C58"/>
    <w:rsid w:val="00291ACB"/>
    <w:rsid w:val="002C0368"/>
    <w:rsid w:val="002D4C1A"/>
    <w:rsid w:val="002D4E97"/>
    <w:rsid w:val="002D53EE"/>
    <w:rsid w:val="002E2742"/>
    <w:rsid w:val="00320857"/>
    <w:rsid w:val="00335E00"/>
    <w:rsid w:val="003426DA"/>
    <w:rsid w:val="0038037D"/>
    <w:rsid w:val="003A481F"/>
    <w:rsid w:val="003B4382"/>
    <w:rsid w:val="003B7BD0"/>
    <w:rsid w:val="003D3836"/>
    <w:rsid w:val="003D3CBB"/>
    <w:rsid w:val="003D41C3"/>
    <w:rsid w:val="00410910"/>
    <w:rsid w:val="00417BF7"/>
    <w:rsid w:val="0042501A"/>
    <w:rsid w:val="00426A58"/>
    <w:rsid w:val="004437E2"/>
    <w:rsid w:val="00484CA6"/>
    <w:rsid w:val="004D617E"/>
    <w:rsid w:val="004E063F"/>
    <w:rsid w:val="004E20C4"/>
    <w:rsid w:val="00594445"/>
    <w:rsid w:val="005974F9"/>
    <w:rsid w:val="005A57FF"/>
    <w:rsid w:val="005B5761"/>
    <w:rsid w:val="005C50EF"/>
    <w:rsid w:val="005C539B"/>
    <w:rsid w:val="006028BB"/>
    <w:rsid w:val="00611324"/>
    <w:rsid w:val="0061219A"/>
    <w:rsid w:val="00612B58"/>
    <w:rsid w:val="00620539"/>
    <w:rsid w:val="006326AF"/>
    <w:rsid w:val="00637930"/>
    <w:rsid w:val="00685569"/>
    <w:rsid w:val="006A6429"/>
    <w:rsid w:val="006D1CA2"/>
    <w:rsid w:val="006D2E71"/>
    <w:rsid w:val="006D5AC7"/>
    <w:rsid w:val="006F76CA"/>
    <w:rsid w:val="0072045E"/>
    <w:rsid w:val="00725B6F"/>
    <w:rsid w:val="0077344A"/>
    <w:rsid w:val="007A3B72"/>
    <w:rsid w:val="007C7151"/>
    <w:rsid w:val="007E4D04"/>
    <w:rsid w:val="008029BA"/>
    <w:rsid w:val="00821D2E"/>
    <w:rsid w:val="00824BFC"/>
    <w:rsid w:val="00836E31"/>
    <w:rsid w:val="00842668"/>
    <w:rsid w:val="00880606"/>
    <w:rsid w:val="008A3C3F"/>
    <w:rsid w:val="008C2BF9"/>
    <w:rsid w:val="008F52A1"/>
    <w:rsid w:val="009162D3"/>
    <w:rsid w:val="00922DC7"/>
    <w:rsid w:val="009242D8"/>
    <w:rsid w:val="00933639"/>
    <w:rsid w:val="009637D5"/>
    <w:rsid w:val="00980541"/>
    <w:rsid w:val="00992A38"/>
    <w:rsid w:val="00996A3F"/>
    <w:rsid w:val="009F1331"/>
    <w:rsid w:val="009F1AB1"/>
    <w:rsid w:val="009F7330"/>
    <w:rsid w:val="00A03704"/>
    <w:rsid w:val="00A135A6"/>
    <w:rsid w:val="00A144A9"/>
    <w:rsid w:val="00A4709C"/>
    <w:rsid w:val="00A573C4"/>
    <w:rsid w:val="00A67868"/>
    <w:rsid w:val="00A77BBB"/>
    <w:rsid w:val="00AA6349"/>
    <w:rsid w:val="00AC3B44"/>
    <w:rsid w:val="00AF0FA1"/>
    <w:rsid w:val="00B25880"/>
    <w:rsid w:val="00B32B06"/>
    <w:rsid w:val="00B35048"/>
    <w:rsid w:val="00B44DF3"/>
    <w:rsid w:val="00B46673"/>
    <w:rsid w:val="00B50524"/>
    <w:rsid w:val="00B77C75"/>
    <w:rsid w:val="00B86372"/>
    <w:rsid w:val="00B8701D"/>
    <w:rsid w:val="00BE6627"/>
    <w:rsid w:val="00C103D5"/>
    <w:rsid w:val="00C10826"/>
    <w:rsid w:val="00C136A0"/>
    <w:rsid w:val="00C37A25"/>
    <w:rsid w:val="00C44048"/>
    <w:rsid w:val="00C56367"/>
    <w:rsid w:val="00C75074"/>
    <w:rsid w:val="00C82F87"/>
    <w:rsid w:val="00CC3E30"/>
    <w:rsid w:val="00D213B6"/>
    <w:rsid w:val="00D60767"/>
    <w:rsid w:val="00D73B8C"/>
    <w:rsid w:val="00D76854"/>
    <w:rsid w:val="00D87EDA"/>
    <w:rsid w:val="00DA3D8D"/>
    <w:rsid w:val="00DD2641"/>
    <w:rsid w:val="00E02493"/>
    <w:rsid w:val="00E775E2"/>
    <w:rsid w:val="00E81582"/>
    <w:rsid w:val="00E86604"/>
    <w:rsid w:val="00E8740C"/>
    <w:rsid w:val="00E91076"/>
    <w:rsid w:val="00E91B14"/>
    <w:rsid w:val="00E9224E"/>
    <w:rsid w:val="00E94D01"/>
    <w:rsid w:val="00E9700A"/>
    <w:rsid w:val="00EB301C"/>
    <w:rsid w:val="00EB6F39"/>
    <w:rsid w:val="00EE35F0"/>
    <w:rsid w:val="00EF0030"/>
    <w:rsid w:val="00F11196"/>
    <w:rsid w:val="00F11C1B"/>
    <w:rsid w:val="00F16503"/>
    <w:rsid w:val="00F31043"/>
    <w:rsid w:val="00F4475A"/>
    <w:rsid w:val="00F51036"/>
    <w:rsid w:val="00F76200"/>
    <w:rsid w:val="00F875E1"/>
    <w:rsid w:val="00FD6143"/>
    <w:rsid w:val="00FE3B05"/>
    <w:rsid w:val="00FF3BFF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854"/>
    <w:rPr>
      <w:sz w:val="24"/>
      <w:szCs w:val="24"/>
    </w:rPr>
  </w:style>
  <w:style w:type="paragraph" w:styleId="4">
    <w:name w:val="heading 4"/>
    <w:basedOn w:val="a"/>
    <w:next w:val="a"/>
    <w:qFormat/>
    <w:rsid w:val="00D76854"/>
    <w:pPr>
      <w:keepNext/>
      <w:jc w:val="right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6854"/>
    <w:pPr>
      <w:snapToGrid w:val="0"/>
    </w:pPr>
    <w:rPr>
      <w:sz w:val="28"/>
    </w:rPr>
  </w:style>
  <w:style w:type="paragraph" w:styleId="a3">
    <w:name w:val="footer"/>
    <w:basedOn w:val="a"/>
    <w:link w:val="a4"/>
    <w:uiPriority w:val="99"/>
    <w:rsid w:val="00D76854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D76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01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0191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063937"/>
    <w:rPr>
      <w:sz w:val="24"/>
      <w:szCs w:val="24"/>
    </w:rPr>
  </w:style>
  <w:style w:type="paragraph" w:customStyle="1" w:styleId="10">
    <w:name w:val="Обычный1"/>
    <w:rsid w:val="00063937"/>
    <w:pPr>
      <w:snapToGrid w:val="0"/>
    </w:pPr>
    <w:rPr>
      <w:sz w:val="28"/>
    </w:rPr>
  </w:style>
  <w:style w:type="table" w:styleId="a8">
    <w:name w:val="Table Grid"/>
    <w:basedOn w:val="a1"/>
    <w:rsid w:val="002D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2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854"/>
    <w:rPr>
      <w:sz w:val="24"/>
      <w:szCs w:val="24"/>
    </w:rPr>
  </w:style>
  <w:style w:type="paragraph" w:styleId="4">
    <w:name w:val="heading 4"/>
    <w:basedOn w:val="a"/>
    <w:next w:val="a"/>
    <w:qFormat/>
    <w:rsid w:val="00D76854"/>
    <w:pPr>
      <w:keepNext/>
      <w:jc w:val="right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6854"/>
    <w:pPr>
      <w:snapToGrid w:val="0"/>
    </w:pPr>
    <w:rPr>
      <w:sz w:val="28"/>
    </w:rPr>
  </w:style>
  <w:style w:type="paragraph" w:styleId="a3">
    <w:name w:val="footer"/>
    <w:basedOn w:val="a"/>
    <w:link w:val="a4"/>
    <w:uiPriority w:val="99"/>
    <w:rsid w:val="00D76854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D76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01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0191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063937"/>
    <w:rPr>
      <w:sz w:val="24"/>
      <w:szCs w:val="24"/>
    </w:rPr>
  </w:style>
  <w:style w:type="paragraph" w:customStyle="1" w:styleId="10">
    <w:name w:val="Обычный1"/>
    <w:rsid w:val="00063937"/>
    <w:pPr>
      <w:snapToGrid w:val="0"/>
    </w:pPr>
    <w:rPr>
      <w:sz w:val="28"/>
    </w:rPr>
  </w:style>
  <w:style w:type="table" w:styleId="a8">
    <w:name w:val="Table Grid"/>
    <w:basedOn w:val="a1"/>
    <w:rsid w:val="002D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2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BD87C2-D4A4-413B-9003-1E924E58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“Татгазинвест”</vt:lpstr>
    </vt:vector>
  </TitlesOfParts>
  <Company>Татгазинвест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“Татгазинвест”</dc:title>
  <dc:creator>Чупаев</dc:creator>
  <cp:lastModifiedBy>Сафин Руслан Рафикович (ОИТиПО)</cp:lastModifiedBy>
  <cp:revision>2</cp:revision>
  <cp:lastPrinted>2008-02-05T11:03:00Z</cp:lastPrinted>
  <dcterms:created xsi:type="dcterms:W3CDTF">2021-01-14T06:05:00Z</dcterms:created>
  <dcterms:modified xsi:type="dcterms:W3CDTF">2021-01-14T06:05:00Z</dcterms:modified>
</cp:coreProperties>
</file>